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C0" w:rsidRDefault="00FE08C0" w:rsidP="00FE08C0">
      <w:pPr>
        <w:pStyle w:val="ListParagraph"/>
        <w:spacing w:after="0" w:line="240" w:lineRule="auto"/>
        <w:ind w:left="1418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482945">
        <w:rPr>
          <w:rFonts w:ascii="Bookman Old Style" w:hAnsi="Bookman Old Style"/>
          <w:b/>
          <w:sz w:val="24"/>
          <w:szCs w:val="24"/>
        </w:rPr>
        <w:t>BIDANG PEMBANGUNAN KAWASAN TRANSMIGRASI DAN PENATAAN PERSEBARAN PENDUDUK</w:t>
      </w:r>
    </w:p>
    <w:p w:rsidR="00FE08C0" w:rsidRPr="00674482" w:rsidRDefault="00FE08C0" w:rsidP="00FE08C0">
      <w:pPr>
        <w:pStyle w:val="ListParagraph"/>
        <w:spacing w:after="0" w:line="240" w:lineRule="auto"/>
        <w:ind w:left="1418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E08C0" w:rsidRPr="00482945" w:rsidRDefault="00FE08C0" w:rsidP="00FE08C0">
      <w:pPr>
        <w:pStyle w:val="ListParagraph"/>
        <w:numPr>
          <w:ilvl w:val="0"/>
          <w:numId w:val="1"/>
        </w:numPr>
        <w:spacing w:after="0" w:line="240" w:lineRule="auto"/>
        <w:ind w:hanging="58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mempunyai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perumusan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standardisasi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bimbingan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teknis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suvervisi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>.</w:t>
      </w:r>
    </w:p>
    <w:p w:rsidR="00FE08C0" w:rsidRPr="00482945" w:rsidRDefault="00FE08C0" w:rsidP="00FE08C0">
      <w:pPr>
        <w:pStyle w:val="ListParagraph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Dalam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menyelenggaraan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dimaksud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pada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ayat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(1)</w:t>
      </w:r>
      <w:r w:rsidRPr="00482945">
        <w:rPr>
          <w:rFonts w:ascii="Bookman Old Style" w:hAnsi="Bookman Old Style"/>
          <w:sz w:val="24"/>
          <w:szCs w:val="24"/>
          <w:lang w:val="en-US"/>
        </w:rPr>
        <w:t>,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mempunyai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fungsi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: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perumusan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fi-FI"/>
        </w:rPr>
        <w:t xml:space="preserve">teknis Bidang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permikiman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pembinaan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permikiman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fi-FI"/>
        </w:rPr>
        <w:t xml:space="preserve">Bidang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permikiman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pembinaan</w:t>
      </w:r>
      <w:proofErr w:type="spellEnd"/>
      <w:r w:rsidRPr="00482945">
        <w:rPr>
          <w:rFonts w:ascii="Bookman Old Style" w:hAnsi="Bookman Old Style"/>
          <w:sz w:val="24"/>
          <w:szCs w:val="24"/>
        </w:rPr>
        <w:t>/</w:t>
      </w:r>
      <w:proofErr w:type="spellStart"/>
      <w:r w:rsidRPr="00482945">
        <w:rPr>
          <w:rFonts w:ascii="Bookman Old Style" w:hAnsi="Bookman Old Style"/>
          <w:sz w:val="24"/>
          <w:szCs w:val="24"/>
        </w:rPr>
        <w:t>bimbingan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teknis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Bidang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permikiman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</w:t>
      </w:r>
      <w:r w:rsidRPr="00482945">
        <w:rPr>
          <w:rFonts w:ascii="Bookman Old Style" w:hAnsi="Bookman Old Style"/>
          <w:sz w:val="24"/>
          <w:szCs w:val="24"/>
          <w:lang w:val="en-US"/>
        </w:rPr>
        <w:t>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Bidang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permikiman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fungsi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lain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Dinas; dan</w:t>
      </w:r>
    </w:p>
    <w:p w:rsidR="00FE08C0" w:rsidRPr="00482945" w:rsidRDefault="00FE08C0" w:rsidP="00FE08C0">
      <w:pPr>
        <w:pStyle w:val="ListParagraph"/>
        <w:numPr>
          <w:ilvl w:val="0"/>
          <w:numId w:val="2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dan data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menyusun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dan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menyampaikan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laporan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tugas dan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fungsi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FE08C0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Penyiapan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Prasarana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Dan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Sarana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Permukiman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Dan</w:t>
      </w: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Kawasan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Transmigrasi</w:t>
      </w:r>
      <w:proofErr w:type="spellEnd"/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Pr="00482945" w:rsidRDefault="00FE08C0" w:rsidP="00FE08C0">
      <w:pPr>
        <w:pStyle w:val="ListParagraph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melaksankan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perumusan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kebijakan,standardisasi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bimbingan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teknis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supervise,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monitoing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standarisasi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kelayakan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penyerasia</w:t>
      </w:r>
      <w:r w:rsidRPr="00482945">
        <w:rPr>
          <w:rFonts w:ascii="Bookman Old Style" w:hAnsi="Bookman Old Style"/>
          <w:sz w:val="24"/>
          <w:szCs w:val="24"/>
          <w:lang w:val="en-US"/>
        </w:rPr>
        <w:t>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lingkungan</w:t>
      </w:r>
      <w:proofErr w:type="spellEnd"/>
      <w:r w:rsidRPr="00482945">
        <w:rPr>
          <w:rFonts w:ascii="Bookman Old Style" w:hAnsi="Bookman Old Style"/>
          <w:sz w:val="24"/>
          <w:szCs w:val="24"/>
        </w:rPr>
        <w:t>.</w:t>
      </w:r>
    </w:p>
    <w:p w:rsidR="00FE08C0" w:rsidRPr="00482945" w:rsidRDefault="00FE08C0" w:rsidP="00FE08C0">
      <w:pPr>
        <w:pStyle w:val="ListParagraph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Uraian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dimaksud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pada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ayat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(1)</w:t>
      </w:r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</w:rPr>
        <w:t>: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tabs>
          <w:tab w:val="left" w:pos="1843"/>
          <w:tab w:val="left" w:pos="2410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tabs>
          <w:tab w:val="left" w:pos="1843"/>
          <w:tab w:val="left" w:pos="2410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melakukan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koordinasi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482945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pembangunan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pengembangan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standarisasi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kelayakan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>,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penyerasia</w:t>
      </w:r>
      <w:r w:rsidRPr="00482945">
        <w:rPr>
          <w:rFonts w:ascii="Bookman Old Style" w:hAnsi="Bookman Old Style"/>
          <w:sz w:val="24"/>
          <w:szCs w:val="24"/>
          <w:lang w:val="en-US"/>
        </w:rPr>
        <w:t>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lingkunga</w:t>
      </w:r>
      <w:r w:rsidRPr="00482945">
        <w:rPr>
          <w:rFonts w:ascii="Bookman Old Style" w:hAnsi="Bookman Old Style"/>
          <w:sz w:val="24"/>
          <w:szCs w:val="24"/>
          <w:lang w:val="en-US"/>
        </w:rPr>
        <w:t>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tabs>
          <w:tab w:val="left" w:pos="1843"/>
          <w:tab w:val="left" w:pos="2410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 koordinasi penyelenggaraan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tabs>
          <w:tab w:val="left" w:pos="1843"/>
          <w:tab w:val="left" w:pos="2410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>melaksanakan</w:t>
      </w:r>
      <w:r w:rsidRPr="00482945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4"/>
        </w:numPr>
        <w:tabs>
          <w:tab w:val="left" w:pos="1985"/>
          <w:tab w:val="left" w:pos="2127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>; dan</w:t>
      </w:r>
    </w:p>
    <w:p w:rsidR="00FE08C0" w:rsidRDefault="00FE08C0" w:rsidP="00FE08C0">
      <w:pPr>
        <w:pStyle w:val="ListParagraph"/>
        <w:numPr>
          <w:ilvl w:val="0"/>
          <w:numId w:val="4"/>
        </w:numPr>
        <w:tabs>
          <w:tab w:val="left" w:pos="1985"/>
          <w:tab w:val="left" w:pos="2127"/>
        </w:tabs>
        <w:spacing w:line="240" w:lineRule="auto"/>
        <w:ind w:left="1843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482945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.</w:t>
      </w: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Pr="00E03DE1" w:rsidRDefault="00FE08C0" w:rsidP="00FE08C0">
      <w:pPr>
        <w:pStyle w:val="ListParagraph"/>
        <w:tabs>
          <w:tab w:val="left" w:pos="1985"/>
          <w:tab w:val="left" w:pos="2127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FE08C0">
        <w:rPr>
          <w:rFonts w:ascii="Bookman Old Style" w:hAnsi="Bookman Old Style"/>
          <w:b/>
          <w:sz w:val="24"/>
          <w:szCs w:val="24"/>
        </w:rPr>
        <w:lastRenderedPageBreak/>
        <w:t>Seksi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Evaluasi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Prasarana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r w:rsidRPr="00FE08C0">
        <w:rPr>
          <w:rFonts w:ascii="Bookman Old Style" w:hAnsi="Bookman Old Style"/>
          <w:b/>
          <w:sz w:val="24"/>
          <w:szCs w:val="24"/>
          <w:lang w:val="en-US"/>
        </w:rPr>
        <w:t>d</w:t>
      </w:r>
      <w:r w:rsidRPr="00FE08C0">
        <w:rPr>
          <w:rFonts w:ascii="Bookman Old Style" w:hAnsi="Bookman Old Style"/>
          <w:b/>
          <w:sz w:val="24"/>
          <w:szCs w:val="24"/>
        </w:rPr>
        <w:t xml:space="preserve">an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Sarana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Permukiman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r w:rsidRPr="00FE08C0">
        <w:rPr>
          <w:rFonts w:ascii="Bookman Old Style" w:hAnsi="Bookman Old Style"/>
          <w:b/>
          <w:sz w:val="24"/>
          <w:szCs w:val="24"/>
          <w:lang w:val="en-US"/>
        </w:rPr>
        <w:t>d</w:t>
      </w:r>
      <w:r w:rsidRPr="00FE08C0">
        <w:rPr>
          <w:rFonts w:ascii="Bookman Old Style" w:hAnsi="Bookman Old Style"/>
          <w:b/>
          <w:sz w:val="24"/>
          <w:szCs w:val="24"/>
        </w:rPr>
        <w:t xml:space="preserve">an </w:t>
      </w:r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FE08C0">
        <w:rPr>
          <w:rFonts w:ascii="Bookman Old Style" w:hAnsi="Bookman Old Style"/>
          <w:b/>
          <w:sz w:val="24"/>
          <w:szCs w:val="24"/>
        </w:rPr>
        <w:t>Kawasan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Transmigrasi</w:t>
      </w:r>
      <w:proofErr w:type="spellEnd"/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Pr="00482945" w:rsidRDefault="00FE08C0" w:rsidP="00FE08C0">
      <w:pPr>
        <w:pStyle w:val="ListParagraph"/>
        <w:numPr>
          <w:ilvl w:val="0"/>
          <w:numId w:val="5"/>
        </w:numPr>
        <w:spacing w:after="0" w:line="240" w:lineRule="auto"/>
        <w:ind w:left="1560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perumusan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standarnisasi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bimbingan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teknis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suvervisi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>.</w:t>
      </w:r>
    </w:p>
    <w:p w:rsidR="00FE08C0" w:rsidRPr="00482945" w:rsidRDefault="00FE08C0" w:rsidP="00FE08C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560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Uraian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dimaksud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pada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ayat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(1)</w:t>
      </w:r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</w:rPr>
        <w:t>: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melakukan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koordinasi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482945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>.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 koordinasi penyelenggaraan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1"/>
          <w:numId w:val="6"/>
        </w:numPr>
        <w:tabs>
          <w:tab w:val="left" w:pos="993"/>
          <w:tab w:val="left" w:pos="1985"/>
        </w:tabs>
        <w:spacing w:before="100" w:beforeAutospacing="1" w:after="100" w:afterAutospacing="1" w:line="240" w:lineRule="auto"/>
        <w:ind w:left="1985" w:hanging="425"/>
        <w:jc w:val="both"/>
        <w:rPr>
          <w:rFonts w:ascii="Bookman Old Style" w:hAnsi="Bookman Old Style"/>
          <w:sz w:val="24"/>
          <w:szCs w:val="24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>melaksanakan</w:t>
      </w:r>
      <w:r w:rsidRPr="00482945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>; dan</w:t>
      </w:r>
    </w:p>
    <w:p w:rsidR="00FE08C0" w:rsidRPr="00E03DE1" w:rsidRDefault="00FE08C0" w:rsidP="00FE08C0">
      <w:pPr>
        <w:pStyle w:val="ListParagraph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482945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prasarana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sarana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permukiman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kawasan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.</w:t>
      </w: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Pr="00482945" w:rsidRDefault="00FE08C0" w:rsidP="00FE08C0">
      <w:pPr>
        <w:pStyle w:val="ListParagraph"/>
        <w:tabs>
          <w:tab w:val="left" w:pos="1560"/>
          <w:tab w:val="left" w:pos="1985"/>
          <w:tab w:val="left" w:pos="2127"/>
        </w:tabs>
        <w:ind w:left="1985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FE08C0">
        <w:rPr>
          <w:rFonts w:ascii="Bookman Old Style" w:hAnsi="Bookman Old Style"/>
          <w:b/>
          <w:sz w:val="24"/>
          <w:szCs w:val="24"/>
        </w:rPr>
        <w:lastRenderedPageBreak/>
        <w:t>Seksi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Penataan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Persebaran</w:t>
      </w:r>
      <w:proofErr w:type="spellEnd"/>
      <w:r w:rsidRPr="00FE08C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b/>
          <w:sz w:val="24"/>
          <w:szCs w:val="24"/>
        </w:rPr>
        <w:t>Penduduk</w:t>
      </w:r>
      <w:proofErr w:type="spellEnd"/>
    </w:p>
    <w:p w:rsid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Pr="00FE08C0" w:rsidRDefault="00FE08C0" w:rsidP="00FE08C0">
      <w:pPr>
        <w:pStyle w:val="ListParagraph"/>
        <w:tabs>
          <w:tab w:val="left" w:pos="1134"/>
        </w:tabs>
        <w:spacing w:after="0" w:line="240" w:lineRule="auto"/>
        <w:ind w:left="144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E08C0" w:rsidRPr="00482945" w:rsidRDefault="00FE08C0" w:rsidP="00FE08C0">
      <w:pPr>
        <w:pStyle w:val="ListParagraph"/>
        <w:numPr>
          <w:ilvl w:val="0"/>
          <w:numId w:val="7"/>
        </w:numPr>
        <w:spacing w:after="0" w:line="240" w:lineRule="auto"/>
        <w:ind w:left="1560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perumusan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kebijakan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stardisasi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bimbingan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teknis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suvervisi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dibidang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pelayanan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perpindahan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calon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setempat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penempatan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adaptasi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fasilitasi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barang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milik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negara</w:t>
      </w:r>
      <w:proofErr w:type="spellEnd"/>
      <w:r w:rsidRPr="00482945">
        <w:rPr>
          <w:rFonts w:ascii="Bookman Old Style" w:hAnsi="Bookman Old Style"/>
          <w:sz w:val="24"/>
          <w:szCs w:val="24"/>
        </w:rPr>
        <w:t>.</w:t>
      </w:r>
    </w:p>
    <w:p w:rsidR="00FE08C0" w:rsidRPr="00482945" w:rsidRDefault="00FE08C0" w:rsidP="00FE08C0">
      <w:pPr>
        <w:pStyle w:val="ListParagraph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1560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Uraian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dimaksud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pada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ayat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(1)</w:t>
      </w:r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482945">
        <w:rPr>
          <w:rFonts w:ascii="Bookman Old Style" w:hAnsi="Bookman Old Style"/>
          <w:bCs/>
          <w:sz w:val="24"/>
          <w:szCs w:val="24"/>
        </w:rPr>
        <w:t xml:space="preserve"> </w:t>
      </w:r>
      <w:r w:rsidRPr="00482945">
        <w:rPr>
          <w:rFonts w:ascii="Bookman Old Style" w:hAnsi="Bookman Old Style"/>
          <w:sz w:val="24"/>
          <w:szCs w:val="24"/>
        </w:rPr>
        <w:t>: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</w:rPr>
        <w:t>melakukan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koordinasi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</w:t>
      </w:r>
      <w:r w:rsidRPr="00482945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482945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pelayanan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perpindahan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penyiapan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calon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setempat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penempatan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82945">
        <w:rPr>
          <w:rFonts w:ascii="Bookman Old Style" w:hAnsi="Bookman Old Style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adaptasi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</w:t>
      </w:r>
      <w:proofErr w:type="spellStart"/>
      <w:r w:rsidRPr="00482945">
        <w:rPr>
          <w:rFonts w:ascii="Bookman Old Style" w:hAnsi="Bookman Old Style"/>
          <w:sz w:val="24"/>
          <w:szCs w:val="24"/>
        </w:rPr>
        <w:t>fasilitasi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barang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milik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negara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 xml:space="preserve">melaksanakan  koordinasi penyelenggaraan </w:t>
      </w:r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fi-FI"/>
        </w:rPr>
        <w:t>;</w:t>
      </w:r>
    </w:p>
    <w:p w:rsidR="00FE08C0" w:rsidRPr="00482945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410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482945">
        <w:rPr>
          <w:rFonts w:ascii="Bookman Old Style" w:hAnsi="Bookman Old Style"/>
          <w:sz w:val="24"/>
          <w:szCs w:val="24"/>
          <w:lang w:val="sv-SE"/>
        </w:rPr>
        <w:t>melaksanakan</w:t>
      </w:r>
      <w:r w:rsidRPr="00482945">
        <w:rPr>
          <w:rFonts w:ascii="Bookman Old Style" w:hAnsi="Bookman Old Style"/>
          <w:color w:val="000000"/>
          <w:sz w:val="24"/>
          <w:szCs w:val="24"/>
        </w:rPr>
        <w:t xml:space="preserve"> monitoring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evaluasi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pelaksanaan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color w:val="000000"/>
          <w:sz w:val="24"/>
          <w:szCs w:val="24"/>
        </w:rPr>
        <w:t>tugas</w:t>
      </w:r>
      <w:proofErr w:type="spellEnd"/>
      <w:r w:rsidRPr="00482945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spellStart"/>
      <w:r w:rsidRPr="00482945">
        <w:rPr>
          <w:rFonts w:ascii="Bookman Old Style" w:hAnsi="Bookman Old Style"/>
          <w:sz w:val="24"/>
          <w:szCs w:val="24"/>
        </w:rPr>
        <w:t>Seksi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penataan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persebaran</w:t>
      </w:r>
      <w:proofErr w:type="spellEnd"/>
      <w:r w:rsidRPr="004829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</w:rPr>
        <w:t>penduduk</w:t>
      </w:r>
      <w:proofErr w:type="spellEnd"/>
      <w:r w:rsidRPr="00482945">
        <w:rPr>
          <w:rFonts w:ascii="Bookman Old Style" w:hAnsi="Bookman Old Style"/>
          <w:sz w:val="24"/>
          <w:szCs w:val="24"/>
          <w:lang w:val="en-US"/>
        </w:rPr>
        <w:t>;</w:t>
      </w:r>
    </w:p>
    <w:p w:rsidR="00895A11" w:rsidRPr="00FE08C0" w:rsidRDefault="00FE08C0" w:rsidP="00FE08C0">
      <w:pPr>
        <w:pStyle w:val="ListParagraph"/>
        <w:numPr>
          <w:ilvl w:val="0"/>
          <w:numId w:val="8"/>
        </w:numPr>
        <w:tabs>
          <w:tab w:val="left" w:pos="1985"/>
          <w:tab w:val="left" w:pos="2127"/>
        </w:tabs>
        <w:spacing w:line="240" w:lineRule="auto"/>
        <w:ind w:left="1985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482945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482945">
        <w:rPr>
          <w:rFonts w:ascii="Bookman Old Style" w:hAnsi="Bookman Old Style"/>
          <w:sz w:val="24"/>
          <w:szCs w:val="24"/>
          <w:lang w:val="es-ES"/>
        </w:rPr>
        <w:t>; dan</w:t>
      </w:r>
      <w:r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FE08C0">
        <w:rPr>
          <w:rFonts w:ascii="Bookman Old Style" w:hAnsi="Bookman Old Style"/>
          <w:sz w:val="24"/>
          <w:szCs w:val="24"/>
        </w:rPr>
        <w:t>m</w:t>
      </w:r>
      <w:r w:rsidRPr="00FE08C0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FE08C0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FE08C0">
        <w:rPr>
          <w:rFonts w:ascii="Bookman Old Style" w:hAnsi="Bookman Old Style"/>
          <w:sz w:val="24"/>
          <w:szCs w:val="24"/>
        </w:rPr>
        <w:t>Seksi</w:t>
      </w:r>
      <w:proofErr w:type="spellEnd"/>
      <w:r w:rsidRPr="00FE08C0">
        <w:rPr>
          <w:rFonts w:ascii="Bookman Old Style" w:hAnsi="Bookman Old Style"/>
          <w:sz w:val="24"/>
          <w:szCs w:val="24"/>
        </w:rPr>
        <w:t xml:space="preserve"> </w:t>
      </w:r>
      <w:r w:rsidRPr="00FE08C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FE08C0">
        <w:rPr>
          <w:rFonts w:ascii="Bookman Old Style" w:hAnsi="Bookman Old Style"/>
          <w:sz w:val="24"/>
          <w:szCs w:val="24"/>
        </w:rPr>
        <w:t>penataan</w:t>
      </w:r>
      <w:proofErr w:type="spellEnd"/>
      <w:r w:rsidRPr="00FE08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sz w:val="24"/>
          <w:szCs w:val="24"/>
        </w:rPr>
        <w:t>persebaran</w:t>
      </w:r>
      <w:proofErr w:type="spellEnd"/>
      <w:r w:rsidRPr="00FE08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08C0">
        <w:rPr>
          <w:rFonts w:ascii="Bookman Old Style" w:hAnsi="Bookman Old Style"/>
          <w:sz w:val="24"/>
          <w:szCs w:val="24"/>
        </w:rPr>
        <w:t>penduduk</w:t>
      </w:r>
      <w:proofErr w:type="spellEnd"/>
    </w:p>
    <w:sectPr w:rsidR="00895A11" w:rsidRPr="00FE08C0" w:rsidSect="0089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DE5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73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4970E0E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73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39F35AE5"/>
    <w:multiLevelType w:val="hybridMultilevel"/>
    <w:tmpl w:val="807EF8B6"/>
    <w:lvl w:ilvl="0" w:tplc="407684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E18A4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DF5E5F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9793354"/>
    <w:multiLevelType w:val="hybridMultilevel"/>
    <w:tmpl w:val="C206E5BA"/>
    <w:lvl w:ilvl="0" w:tplc="A10E178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F22690C"/>
    <w:multiLevelType w:val="hybridMultilevel"/>
    <w:tmpl w:val="63A045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FA7AAB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220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08C0"/>
    <w:rsid w:val="00895A11"/>
    <w:rsid w:val="00F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08C0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FE08C0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2020-09-23T11:31:00Z</dcterms:created>
  <dcterms:modified xsi:type="dcterms:W3CDTF">2020-09-23T11:34:00Z</dcterms:modified>
</cp:coreProperties>
</file>