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4" w:rsidRPr="00DE1A93" w:rsidRDefault="006A7044" w:rsidP="006A7044">
      <w:pPr>
        <w:pStyle w:val="ListParagraph"/>
        <w:spacing w:after="0" w:line="240" w:lineRule="auto"/>
        <w:ind w:left="993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DE1A93">
        <w:rPr>
          <w:rFonts w:ascii="Bookman Old Style" w:hAnsi="Bookman Old Style"/>
          <w:b/>
          <w:sz w:val="24"/>
          <w:szCs w:val="24"/>
        </w:rPr>
        <w:t xml:space="preserve">BIDANG </w:t>
      </w:r>
      <w:r w:rsidRPr="00DE1A93">
        <w:rPr>
          <w:rFonts w:ascii="Bookman Old Style" w:hAnsi="Bookman Old Style"/>
          <w:b/>
          <w:sz w:val="24"/>
          <w:szCs w:val="24"/>
          <w:lang w:val="en-US"/>
        </w:rPr>
        <w:t>P</w:t>
      </w:r>
      <w:r w:rsidRPr="00DE1A93">
        <w:rPr>
          <w:rFonts w:ascii="Bookman Old Style" w:hAnsi="Bookman Old Style"/>
          <w:b/>
          <w:sz w:val="24"/>
          <w:szCs w:val="24"/>
        </w:rPr>
        <w:t xml:space="preserve">ERENCANAAN </w:t>
      </w:r>
      <w:r w:rsidRPr="00DE1A93">
        <w:rPr>
          <w:rFonts w:ascii="Bookman Old Style" w:hAnsi="Bookman Old Style"/>
          <w:b/>
          <w:sz w:val="24"/>
          <w:szCs w:val="24"/>
          <w:lang w:val="en-US"/>
        </w:rPr>
        <w:t>K</w:t>
      </w:r>
      <w:r w:rsidRPr="00DE1A93">
        <w:rPr>
          <w:rFonts w:ascii="Bookman Old Style" w:hAnsi="Bookman Old Style"/>
          <w:b/>
          <w:sz w:val="24"/>
          <w:szCs w:val="24"/>
        </w:rPr>
        <w:t xml:space="preserve">AWASAN </w:t>
      </w:r>
      <w:r w:rsidRPr="00DE1A93">
        <w:rPr>
          <w:rFonts w:ascii="Bookman Old Style" w:hAnsi="Bookman Old Style"/>
          <w:b/>
          <w:sz w:val="24"/>
          <w:szCs w:val="24"/>
          <w:lang w:val="en-US"/>
        </w:rPr>
        <w:t>T</w:t>
      </w:r>
      <w:r w:rsidRPr="00DE1A93">
        <w:rPr>
          <w:rFonts w:ascii="Bookman Old Style" w:hAnsi="Bookman Old Style"/>
          <w:b/>
          <w:sz w:val="24"/>
          <w:szCs w:val="24"/>
        </w:rPr>
        <w:t>RANSMIGRASI</w:t>
      </w:r>
    </w:p>
    <w:p w:rsidR="006A7044" w:rsidRDefault="006A7044" w:rsidP="006A7044">
      <w:pPr>
        <w:spacing w:after="0" w:line="240" w:lineRule="auto"/>
        <w:ind w:left="1800"/>
        <w:jc w:val="center"/>
        <w:rPr>
          <w:rFonts w:ascii="Bookman Old Style" w:hAnsi="Bookman Old Style"/>
          <w:sz w:val="24"/>
          <w:szCs w:val="24"/>
        </w:rPr>
      </w:pPr>
    </w:p>
    <w:p w:rsidR="006A7044" w:rsidRPr="00DE1A93" w:rsidRDefault="006A7044" w:rsidP="006A7044">
      <w:pPr>
        <w:pStyle w:val="ListParagraph"/>
        <w:numPr>
          <w:ilvl w:val="0"/>
          <w:numId w:val="2"/>
        </w:numPr>
        <w:spacing w:after="0" w:line="240" w:lineRule="auto"/>
        <w:ind w:left="1418" w:hanging="48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supervisi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0"/>
          <w:numId w:val="2"/>
        </w:numPr>
        <w:spacing w:after="0" w:line="240" w:lineRule="auto"/>
        <w:ind w:left="1418" w:hanging="48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Dalam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sz w:val="24"/>
          <w:szCs w:val="24"/>
          <w:lang w:val="en-US"/>
        </w:rPr>
        <w:t>,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fungsi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: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fi-FI"/>
        </w:rPr>
        <w:t xml:space="preserve">teknis Bidang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en-US"/>
        </w:rPr>
        <w:t>d</w:t>
      </w:r>
      <w:r w:rsidRPr="00DE1A93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fi-FI"/>
        </w:rPr>
        <w:t xml:space="preserve">Bidang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en-US"/>
        </w:rPr>
        <w:t>d</w:t>
      </w:r>
      <w:r w:rsidRPr="00DE1A93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>/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en-US"/>
        </w:rPr>
        <w:t>d</w:t>
      </w:r>
      <w:r w:rsidRPr="00DE1A93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en-US"/>
        </w:rPr>
        <w:t>d</w:t>
      </w:r>
      <w:r w:rsidRPr="00DE1A93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fungsi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Dinas; dan</w:t>
      </w:r>
    </w:p>
    <w:p w:rsidR="006A7044" w:rsidRPr="00DE1A93" w:rsidRDefault="006A7044" w:rsidP="006A7044">
      <w:pPr>
        <w:pStyle w:val="ListParagraph"/>
        <w:numPr>
          <w:ilvl w:val="1"/>
          <w:numId w:val="1"/>
        </w:numPr>
        <w:tabs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dan data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menyusun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dan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menyampaikan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laporan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dan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fungsi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6A7044" w:rsidRDefault="006A7044" w:rsidP="006A7044">
      <w:pPr>
        <w:pStyle w:val="ListParagraph"/>
        <w:ind w:left="1418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A7044" w:rsidRDefault="006A7044" w:rsidP="006A7044">
      <w:pPr>
        <w:pStyle w:val="ListParagraph"/>
        <w:ind w:left="1418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A7044" w:rsidRPr="00DE1A93" w:rsidRDefault="006A7044" w:rsidP="006A7044">
      <w:pPr>
        <w:pStyle w:val="ListParagraph"/>
        <w:ind w:left="1418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A7044" w:rsidRDefault="006A7044" w:rsidP="006A7044">
      <w:pPr>
        <w:pStyle w:val="ListParagraph"/>
        <w:spacing w:before="100" w:beforeAutospacing="1" w:after="100" w:afterAutospacing="1" w:line="240" w:lineRule="auto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6A7044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Pembinaan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Potensi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Kawasan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Transmigrasi</w:t>
      </w:r>
      <w:proofErr w:type="spellEnd"/>
    </w:p>
    <w:p w:rsidR="006A7044" w:rsidRPr="006A7044" w:rsidRDefault="006A7044" w:rsidP="006A7044">
      <w:pPr>
        <w:pStyle w:val="ListParagraph"/>
        <w:spacing w:before="100" w:beforeAutospacing="1" w:after="100" w:afterAutospacing="1" w:line="240" w:lineRule="auto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DE1A93" w:rsidRDefault="006A7044" w:rsidP="006A70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418" w:hanging="567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</w:t>
      </w:r>
      <w:r w:rsidRPr="00DE1A93">
        <w:rPr>
          <w:rFonts w:ascii="Bookman Old Style" w:hAnsi="Bookman Old Style"/>
          <w:sz w:val="24"/>
          <w:szCs w:val="24"/>
          <w:lang w:val="en-US"/>
        </w:rPr>
        <w:t>a</w:t>
      </w:r>
      <w:r w:rsidRPr="00DE1A93">
        <w:rPr>
          <w:rFonts w:ascii="Bookman Old Style" w:hAnsi="Bookman Old Style"/>
          <w:sz w:val="24"/>
          <w:szCs w:val="24"/>
        </w:rPr>
        <w:t>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standardisasi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supervise,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informasi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6A7044" w:rsidRPr="00DE1A93" w:rsidRDefault="006A7044" w:rsidP="006A70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41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>: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lastRenderedPageBreak/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standardisasi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supervise</w:t>
      </w:r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informasi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melaksanakan koordinasi penyelenggaraan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</w:t>
      </w:r>
      <w:r w:rsidRPr="00DE1A93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</w:p>
    <w:p w:rsidR="006A7044" w:rsidRPr="00DE1A93" w:rsidRDefault="006A7044" w:rsidP="006A7044">
      <w:pPr>
        <w:pStyle w:val="ListParagraph"/>
        <w:numPr>
          <w:ilvl w:val="0"/>
          <w:numId w:val="3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Seksi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potensi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Default="006A7044" w:rsidP="006A7044">
      <w:pPr>
        <w:pStyle w:val="ListParagraph"/>
        <w:ind w:left="1418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6A7044" w:rsidRDefault="006A7044" w:rsidP="006A7044">
      <w:pPr>
        <w:pStyle w:val="ListParagraph"/>
        <w:ind w:left="1418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6A7044" w:rsidRPr="00DE1A93" w:rsidRDefault="006A7044" w:rsidP="006A7044">
      <w:pPr>
        <w:pStyle w:val="ListParagraph"/>
        <w:ind w:left="1418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6A7044" w:rsidRDefault="006A7044" w:rsidP="006A7044">
      <w:pPr>
        <w:pStyle w:val="ListParagraph"/>
        <w:tabs>
          <w:tab w:val="left" w:pos="1276"/>
          <w:tab w:val="left" w:pos="1985"/>
        </w:tabs>
        <w:spacing w:before="100" w:beforeAutospacing="1" w:after="100" w:afterAutospacing="1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6A7044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Perencanaan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Pembangunan Dan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Pengembangan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Kawasan</w:t>
      </w:r>
      <w:proofErr w:type="spellEnd"/>
    </w:p>
    <w:p w:rsidR="006A7044" w:rsidRPr="006A7044" w:rsidRDefault="006A7044" w:rsidP="006A7044">
      <w:pPr>
        <w:pStyle w:val="ListParagraph"/>
        <w:tabs>
          <w:tab w:val="left" w:pos="1276"/>
          <w:tab w:val="left" w:pos="1985"/>
        </w:tabs>
        <w:spacing w:before="100" w:beforeAutospacing="1" w:after="100" w:afterAutospacing="1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DE1A93" w:rsidRDefault="006A7044" w:rsidP="006A7044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418" w:hanging="567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standardisasi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supervise,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satuan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satuan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permukiman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sarana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prasarana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41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>: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standardisasi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supervise</w:t>
      </w:r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satuan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satuan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permukiman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lastRenderedPageBreak/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sarana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prasarana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masyarakat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melaksanakan koordinasi penyelenggaraan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</w:t>
      </w:r>
      <w:r w:rsidRPr="00DE1A93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</w:p>
    <w:p w:rsidR="006A7044" w:rsidRPr="00DE1A93" w:rsidRDefault="006A7044" w:rsidP="006A7044">
      <w:pPr>
        <w:pStyle w:val="ListParagraph"/>
        <w:numPr>
          <w:ilvl w:val="0"/>
          <w:numId w:val="5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.</w:t>
      </w:r>
    </w:p>
    <w:p w:rsidR="006A7044" w:rsidRDefault="006A7044" w:rsidP="006A7044">
      <w:pPr>
        <w:pStyle w:val="ListParagraph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Default="006A7044" w:rsidP="006A7044">
      <w:pPr>
        <w:pStyle w:val="ListParagraph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6A7044" w:rsidRDefault="006A7044" w:rsidP="006A7044">
      <w:pPr>
        <w:pStyle w:val="ListParagraph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</w:p>
    <w:p w:rsid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6A7044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Penyediaan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Tanah Dan</w:t>
      </w:r>
    </w:p>
    <w:p w:rsid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Pelayanan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Pertanahan</w:t>
      </w:r>
      <w:proofErr w:type="spellEnd"/>
      <w:r w:rsidRPr="006A704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b/>
          <w:sz w:val="24"/>
          <w:szCs w:val="24"/>
        </w:rPr>
        <w:t>Transmigrasi</w:t>
      </w:r>
      <w:proofErr w:type="spellEnd"/>
    </w:p>
    <w:p w:rsid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6A7044" w:rsidRDefault="006A7044" w:rsidP="006A7044">
      <w:pPr>
        <w:pStyle w:val="ListParagraph"/>
        <w:tabs>
          <w:tab w:val="left" w:pos="1276"/>
        </w:tabs>
        <w:spacing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6A7044" w:rsidRPr="00DE1A93" w:rsidRDefault="006A7044" w:rsidP="006A7044">
      <w:pPr>
        <w:pStyle w:val="ListParagraph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standarnisasi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supervise,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percadangan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penataan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pengukuran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pengukuran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hak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atas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advokasi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dokumentasi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41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>:</w:t>
      </w:r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pe</w:t>
      </w:r>
      <w:r w:rsidRPr="00DE1A93">
        <w:rPr>
          <w:rFonts w:ascii="Bookman Old Style" w:hAnsi="Bookman Old Style"/>
          <w:sz w:val="24"/>
          <w:szCs w:val="24"/>
          <w:lang w:val="en-US"/>
        </w:rPr>
        <w:t>n</w:t>
      </w:r>
      <w:proofErr w:type="spellStart"/>
      <w:r w:rsidRPr="00DE1A93">
        <w:rPr>
          <w:rFonts w:ascii="Bookman Old Style" w:hAnsi="Bookman Old Style"/>
          <w:sz w:val="24"/>
          <w:szCs w:val="24"/>
        </w:rPr>
        <w:t>cadangan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penataan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proofErr w:type="gramStart"/>
      <w:r w:rsidRPr="00DE1A93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proofErr w:type="gram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pengukuran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pengukuran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hak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atas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advokasi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dokumentasi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>.</w:t>
      </w:r>
    </w:p>
    <w:p w:rsidR="006A7044" w:rsidRPr="00DE1A93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lastRenderedPageBreak/>
        <w:t xml:space="preserve">melaksanakan  koordinasi penyelenggaraan 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6A7044" w:rsidRPr="006A7044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</w:t>
      </w:r>
      <w:r w:rsidRPr="00DE1A93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penyediaan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tanah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pertanahan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</w:p>
    <w:p w:rsidR="006A7044" w:rsidRPr="00DE1A93" w:rsidRDefault="006A7044" w:rsidP="006A7044">
      <w:pPr>
        <w:pStyle w:val="ListParagraph"/>
        <w:spacing w:line="240" w:lineRule="auto"/>
        <w:ind w:left="1843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895A11" w:rsidRPr="006A7044" w:rsidRDefault="006A7044" w:rsidP="006A7044">
      <w:pPr>
        <w:pStyle w:val="ListParagraph"/>
        <w:numPr>
          <w:ilvl w:val="0"/>
          <w:numId w:val="8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  <w:proofErr w:type="spellStart"/>
      <w:r w:rsidRPr="006A7044">
        <w:rPr>
          <w:rFonts w:ascii="Bookman Old Style" w:hAnsi="Bookman Old Style"/>
          <w:sz w:val="24"/>
          <w:szCs w:val="24"/>
        </w:rPr>
        <w:t>m</w:t>
      </w:r>
      <w:r w:rsidRPr="006A7044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6A7044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6A7044">
        <w:rPr>
          <w:rFonts w:ascii="Bookman Old Style" w:hAnsi="Bookman Old Style"/>
          <w:sz w:val="24"/>
          <w:szCs w:val="24"/>
        </w:rPr>
        <w:t>Seksi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penyediaan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tanah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dan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pelayanan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pertanahan</w:t>
      </w:r>
      <w:proofErr w:type="spellEnd"/>
      <w:r w:rsidRPr="006A70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7044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6A7044">
        <w:rPr>
          <w:rFonts w:ascii="Bookman Old Style" w:hAnsi="Bookman Old Style"/>
          <w:sz w:val="24"/>
          <w:szCs w:val="24"/>
          <w:lang w:val="fi-FI"/>
        </w:rPr>
        <w:t>;</w:t>
      </w:r>
    </w:p>
    <w:sectPr w:rsidR="00895A11" w:rsidRPr="006A7044" w:rsidSect="0089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C5C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73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A1415F0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73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1F9D125E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6C4A24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5BD5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73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514F12CE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1B721A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01C44A1"/>
    <w:multiLevelType w:val="hybridMultilevel"/>
    <w:tmpl w:val="807EF8B6"/>
    <w:lvl w:ilvl="0" w:tplc="407684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7044"/>
    <w:rsid w:val="006A7044"/>
    <w:rsid w:val="008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7044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6A7044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2020-09-23T11:23:00Z</dcterms:created>
  <dcterms:modified xsi:type="dcterms:W3CDTF">2020-09-23T11:26:00Z</dcterms:modified>
</cp:coreProperties>
</file>